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D360C0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ab/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5C1E72" w:rsidRDefault="00BA1C2D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</w:t>
      </w:r>
      <w:proofErr w:type="gramStart"/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proofErr w:type="gramEnd"/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O empreendedor poderá solicitar licenças por etapas ou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concomitantes.</w:t>
      </w:r>
      <w:proofErr w:type="gramEnd"/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640233" w:rsidRPr="00FA7663" w:rsidRDefault="00640233" w:rsidP="00640233">
      <w:pPr>
        <w:spacing w:line="360" w:lineRule="auto"/>
        <w:jc w:val="both"/>
        <w:rPr>
          <w:b/>
          <w:bCs/>
          <w:lang w:val="pt-BR"/>
        </w:rPr>
      </w:pPr>
    </w:p>
    <w:p w:rsidR="00640233" w:rsidRPr="00565216" w:rsidRDefault="00640233" w:rsidP="00640233">
      <w:pPr>
        <w:spacing w:line="360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565216">
        <w:rPr>
          <w:rFonts w:ascii="Century Gothic" w:hAnsi="Century Gothic"/>
          <w:b/>
          <w:bCs/>
          <w:color w:val="FF0000"/>
          <w:sz w:val="32"/>
          <w:szCs w:val="32"/>
          <w:lang w:val="pt-BR"/>
        </w:rPr>
        <w:t xml:space="preserve">PROJETOS AGRÍCOLAS </w:t>
      </w:r>
      <w:r w:rsidRPr="00565216">
        <w:rPr>
          <w:rFonts w:ascii="Century Gothic" w:hAnsi="Century Gothic"/>
          <w:b/>
          <w:color w:val="FF0000"/>
          <w:sz w:val="32"/>
          <w:szCs w:val="32"/>
        </w:rPr>
        <w:t>DE CULTURAS PERENES</w:t>
      </w:r>
    </w:p>
    <w:p w:rsidR="00640233" w:rsidRPr="00640233" w:rsidRDefault="00640233" w:rsidP="00640233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640233" w:rsidRPr="00640233" w:rsidRDefault="00640233" w:rsidP="00640233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640233">
        <w:rPr>
          <w:rFonts w:ascii="Century Gothic" w:hAnsi="Century Gothic"/>
          <w:b/>
          <w:sz w:val="24"/>
          <w:szCs w:val="24"/>
        </w:rPr>
        <w:t>RELAÇÃO DE DOCUMENTOS PARA LICENÇA PRÉVIA (LP)</w:t>
      </w:r>
    </w:p>
    <w:p w:rsidR="00640233" w:rsidRPr="00640233" w:rsidRDefault="00640233" w:rsidP="00640233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Requerimento padrrão, disponível no site da SEDAM;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Comprovante de recolhimento de taxa referente à licença Prévia conforme determina a Lei estadual nº3941 de 2016;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Cópia do cartão CNPJ;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Cópia do FAC (SINTEGRA);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Ato Constitutivo, Contrato Social, Requerimento de Empresário Individual, Estatuto Social, Declaração de MEI ou Certidão Simplificada</w:t>
      </w:r>
    </w:p>
    <w:p w:rsid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Cópias do (CPF e RG) dos responsáveis legais do empreendimento; 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Procuração, quando couber;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640233" w:rsidRPr="00640233" w:rsidRDefault="00444817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Cópias do (CPF</w:t>
      </w:r>
      <w:r w:rsidR="00640233" w:rsidRPr="00640233">
        <w:rPr>
          <w:rFonts w:ascii="Century Gothic" w:eastAsia="Century Gothic" w:hAnsi="Century Gothic"/>
          <w:sz w:val="24"/>
          <w:szCs w:val="24"/>
        </w:rPr>
        <w:t xml:space="preserve"> e RG) do proprietário do imóvel, quando aplicável</w:t>
      </w:r>
      <w:r w:rsidR="00640233" w:rsidRPr="00640233">
        <w:rPr>
          <w:rFonts w:ascii="Century Gothic" w:eastAsia="Century Gothic" w:hAnsi="Century Gothic"/>
          <w:b/>
          <w:sz w:val="24"/>
          <w:szCs w:val="24"/>
        </w:rPr>
        <w:t>;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ou </w:t>
      </w:r>
      <w:r w:rsidRPr="00640233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640233">
        <w:rPr>
          <w:rFonts w:ascii="Century Gothic" w:hAnsi="Century Gothic"/>
          <w:sz w:val="24"/>
          <w:szCs w:val="24"/>
        </w:rPr>
        <w:t>,</w:t>
      </w:r>
      <w:r w:rsidRPr="00640233">
        <w:rPr>
          <w:rFonts w:ascii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Relatório de Controle Ambiental - RCA, descrevendo a concepção geral do </w:t>
      </w:r>
      <w:r w:rsidRPr="00640233">
        <w:rPr>
          <w:rFonts w:ascii="Century Gothic" w:eastAsia="Century Gothic" w:hAnsi="Century Gothic"/>
          <w:sz w:val="24"/>
          <w:szCs w:val="24"/>
        </w:rPr>
        <w:lastRenderedPageBreak/>
        <w:t xml:space="preserve">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640233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Publicação em jornal do Pedido de Licença Prévia.</w:t>
      </w:r>
    </w:p>
    <w:p w:rsidR="00640233" w:rsidRPr="00640233" w:rsidRDefault="00640233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40233" w:rsidRPr="00640233" w:rsidRDefault="00640233" w:rsidP="00640233">
      <w:pPr>
        <w:spacing w:line="360" w:lineRule="auto"/>
        <w:jc w:val="center"/>
        <w:rPr>
          <w:rFonts w:ascii="Century Gothic" w:eastAsia="Century Gothic" w:hAnsi="Century Gothic"/>
          <w:b/>
          <w:sz w:val="24"/>
          <w:szCs w:val="24"/>
        </w:rPr>
      </w:pPr>
      <w:r w:rsidRPr="00640233">
        <w:rPr>
          <w:rFonts w:ascii="Century Gothic" w:hAnsi="Century Gothic"/>
          <w:b/>
          <w:sz w:val="24"/>
          <w:szCs w:val="24"/>
        </w:rPr>
        <w:t>RELAÇÃO DE DOCUMENTOS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PARA LICENÇA DE INSTALAÇÃO (LI):</w:t>
      </w:r>
    </w:p>
    <w:p w:rsidR="00640233" w:rsidRPr="00640233" w:rsidRDefault="00640233" w:rsidP="00640233">
      <w:pPr>
        <w:spacing w:line="360" w:lineRule="auto"/>
        <w:jc w:val="both"/>
        <w:rPr>
          <w:rFonts w:ascii="Century Gothic" w:eastAsia="Century Gothic" w:hAnsi="Century Gothic"/>
          <w:b/>
          <w:sz w:val="24"/>
          <w:szCs w:val="24"/>
        </w:rPr>
      </w:pP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Requerimento padrrão, disponível no site da SEDAM;</w:t>
      </w: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640233" w:rsidRPr="00640233" w:rsidRDefault="007C23D2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Plano de Controle Ambiental - PCA,</w:t>
      </w:r>
      <w:r w:rsidR="00640233" w:rsidRPr="00640233">
        <w:rPr>
          <w:rFonts w:ascii="Century Gothic" w:eastAsia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</w:t>
      </w:r>
      <w:r w:rsidR="00640233">
        <w:rPr>
          <w:rFonts w:ascii="Century Gothic" w:eastAsia="Century Gothic" w:hAnsi="Century Gothic"/>
          <w:sz w:val="24"/>
          <w:szCs w:val="24"/>
        </w:rPr>
        <w:t>;</w:t>
      </w: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Programa de Controle e Proteção de solo e água com anotação de responsabilidade técnica do profissional legalmente habilitado; </w:t>
      </w: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Programa de monitoramento de solo e água com anotação de responsabilidade técnica do profissional legalmente habilitado;</w:t>
      </w: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Cronograma de implantação do empreendimento;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Publicação em jornal do pedido da Licença de Instalação;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 xml:space="preserve">Protocolo de regularização do abastecimento hídrico registrado junto </w:t>
      </w:r>
      <w:r w:rsidR="009138E2">
        <w:rPr>
          <w:rFonts w:ascii="Century Gothic" w:hAnsi="Century Gothic"/>
          <w:sz w:val="24"/>
          <w:szCs w:val="24"/>
        </w:rPr>
        <w:t>ao COREH, quando couber</w:t>
      </w:r>
      <w:r w:rsidRPr="00640233">
        <w:rPr>
          <w:rFonts w:ascii="Century Gothic" w:hAnsi="Century Gothic"/>
          <w:sz w:val="24"/>
          <w:szCs w:val="24"/>
        </w:rPr>
        <w:t xml:space="preserve">; </w:t>
      </w:r>
    </w:p>
    <w:p w:rsidR="00640233" w:rsidRPr="00640233" w:rsidRDefault="00640233" w:rsidP="00481A76">
      <w:pPr>
        <w:pStyle w:val="PargrafodaLista"/>
        <w:numPr>
          <w:ilvl w:val="0"/>
          <w:numId w:val="29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Outros documentos exigidos nas condicionantes da Licença Prévia, quando aplicável.</w:t>
      </w:r>
    </w:p>
    <w:p w:rsidR="00640233" w:rsidRPr="00640233" w:rsidRDefault="00640233" w:rsidP="00640233">
      <w:pPr>
        <w:spacing w:line="360" w:lineRule="auto"/>
        <w:jc w:val="both"/>
        <w:rPr>
          <w:rFonts w:ascii="Century Gothic" w:eastAsia="Century Gothic" w:hAnsi="Century Gothic"/>
          <w:sz w:val="24"/>
          <w:szCs w:val="24"/>
        </w:rPr>
      </w:pPr>
    </w:p>
    <w:p w:rsidR="00640233" w:rsidRPr="00640233" w:rsidRDefault="00640233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40233" w:rsidRPr="00640233" w:rsidRDefault="00640233" w:rsidP="00640233">
      <w:pPr>
        <w:spacing w:line="360" w:lineRule="auto"/>
        <w:ind w:left="720"/>
        <w:jc w:val="both"/>
        <w:rPr>
          <w:rFonts w:ascii="Century Gothic" w:eastAsia="Century Gothic" w:hAnsi="Century Gothic"/>
          <w:sz w:val="24"/>
          <w:szCs w:val="24"/>
        </w:rPr>
      </w:pPr>
    </w:p>
    <w:p w:rsidR="00640233" w:rsidRPr="00807BB2" w:rsidRDefault="00640233" w:rsidP="00481A7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07BB2">
        <w:rPr>
          <w:rFonts w:ascii="Century Gothic" w:hAnsi="Century Gothic"/>
          <w:b/>
          <w:sz w:val="24"/>
          <w:szCs w:val="24"/>
        </w:rPr>
        <w:t>RELAÇÃO DE DOCUMENTOS</w:t>
      </w:r>
      <w:r w:rsidRPr="00807BB2">
        <w:rPr>
          <w:rFonts w:ascii="Century Gothic" w:eastAsia="Century Gothic" w:hAnsi="Century Gothic"/>
          <w:b/>
          <w:sz w:val="24"/>
          <w:szCs w:val="24"/>
        </w:rPr>
        <w:t xml:space="preserve"> </w:t>
      </w:r>
      <w:r w:rsidRPr="00807BB2">
        <w:rPr>
          <w:rFonts w:ascii="Century Gothic" w:hAnsi="Century Gothic"/>
          <w:b/>
          <w:sz w:val="24"/>
          <w:szCs w:val="24"/>
        </w:rPr>
        <w:t>PARA RENOVAÇÃO DA</w:t>
      </w:r>
      <w:r w:rsidRPr="00807BB2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807BB2">
        <w:rPr>
          <w:rFonts w:ascii="Century Gothic" w:hAnsi="Century Gothic"/>
          <w:b/>
          <w:sz w:val="24"/>
          <w:szCs w:val="24"/>
        </w:rPr>
        <w:t>LICENÇA DE INSTALAÇÃO (LI):</w:t>
      </w:r>
    </w:p>
    <w:p w:rsidR="00640233" w:rsidRPr="00807BB2" w:rsidRDefault="00640233" w:rsidP="0064023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40233" w:rsidRPr="00640233" w:rsidRDefault="00640233" w:rsidP="00AC7AB5">
      <w:pPr>
        <w:pStyle w:val="PargrafodaLista"/>
        <w:numPr>
          <w:ilvl w:val="0"/>
          <w:numId w:val="30"/>
        </w:numPr>
        <w:spacing w:line="360" w:lineRule="auto"/>
        <w:ind w:left="851" w:hanging="491"/>
        <w:jc w:val="both"/>
        <w:rPr>
          <w:rFonts w:ascii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640233" w:rsidRPr="00640233" w:rsidRDefault="00640233" w:rsidP="00AC7AB5">
      <w:pPr>
        <w:pStyle w:val="PargrafodaLista"/>
        <w:numPr>
          <w:ilvl w:val="0"/>
          <w:numId w:val="30"/>
        </w:numPr>
        <w:spacing w:line="360" w:lineRule="auto"/>
        <w:ind w:left="851" w:hanging="491"/>
        <w:jc w:val="both"/>
        <w:rPr>
          <w:rFonts w:ascii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>Comprovante de recolhimento de taxa referente à renovação licença de Instalação conforme determina a Lei estadual nº3941 de 2016;</w:t>
      </w:r>
    </w:p>
    <w:p w:rsidR="00640233" w:rsidRPr="00640233" w:rsidRDefault="00640233" w:rsidP="00AC7AB5">
      <w:pPr>
        <w:pStyle w:val="PargrafodaLista"/>
        <w:numPr>
          <w:ilvl w:val="0"/>
          <w:numId w:val="30"/>
        </w:numPr>
        <w:spacing w:line="360" w:lineRule="auto"/>
        <w:ind w:left="851" w:hanging="491"/>
        <w:jc w:val="both"/>
        <w:rPr>
          <w:rFonts w:ascii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>Cronograma de execução da</w:t>
      </w:r>
      <w:r w:rsidRPr="0064023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640233">
        <w:rPr>
          <w:rFonts w:ascii="Century Gothic" w:hAnsi="Century Gothic"/>
          <w:sz w:val="24"/>
          <w:szCs w:val="24"/>
        </w:rPr>
        <w:t>obra;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0"/>
        </w:numPr>
        <w:spacing w:line="360" w:lineRule="auto"/>
        <w:ind w:left="851" w:hanging="491"/>
        <w:jc w:val="both"/>
        <w:rPr>
          <w:rFonts w:ascii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empreendimento);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0"/>
        </w:numPr>
        <w:spacing w:line="360" w:lineRule="auto"/>
        <w:ind w:left="851" w:hanging="491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Outros documentos exigidos nas condicionantes </w:t>
      </w:r>
      <w:r w:rsidR="00807BB2">
        <w:rPr>
          <w:rFonts w:ascii="Century Gothic" w:eastAsia="Century Gothic" w:hAnsi="Century Gothic"/>
          <w:sz w:val="24"/>
          <w:szCs w:val="24"/>
        </w:rPr>
        <w:t>estabelecida</w:t>
      </w:r>
      <w:r w:rsidRPr="00640233">
        <w:rPr>
          <w:rFonts w:ascii="Century Gothic" w:eastAsia="Century Gothic" w:hAnsi="Century Gothic"/>
          <w:sz w:val="24"/>
          <w:szCs w:val="24"/>
        </w:rPr>
        <w:t>s nas fases anteriores, quando aplicável.</w:t>
      </w:r>
    </w:p>
    <w:p w:rsidR="00640233" w:rsidRPr="00640233" w:rsidRDefault="00640233" w:rsidP="00640233">
      <w:pPr>
        <w:spacing w:line="360" w:lineRule="auto"/>
        <w:jc w:val="both"/>
        <w:rPr>
          <w:rFonts w:ascii="Century Gothic" w:eastAsia="Century Gothic" w:hAnsi="Century Gothic"/>
          <w:b/>
          <w:sz w:val="24"/>
          <w:szCs w:val="24"/>
        </w:rPr>
      </w:pPr>
    </w:p>
    <w:p w:rsidR="00640233" w:rsidRPr="00640233" w:rsidRDefault="00640233" w:rsidP="00132129">
      <w:pPr>
        <w:spacing w:line="360" w:lineRule="auto"/>
        <w:jc w:val="center"/>
        <w:rPr>
          <w:rFonts w:ascii="Century Gothic" w:eastAsia="Century Gothic" w:hAnsi="Century Gothic"/>
          <w:b/>
          <w:sz w:val="24"/>
          <w:szCs w:val="24"/>
        </w:rPr>
      </w:pPr>
      <w:r w:rsidRPr="00640233">
        <w:rPr>
          <w:rFonts w:ascii="Century Gothic" w:hAnsi="Century Gothic"/>
          <w:b/>
          <w:sz w:val="24"/>
          <w:szCs w:val="24"/>
        </w:rPr>
        <w:t>RELAÇÃO DE DOCUMENTOS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PARA LICENÇA DE OPERAÇÃO (LO):</w:t>
      </w:r>
    </w:p>
    <w:p w:rsidR="00640233" w:rsidRPr="00640233" w:rsidRDefault="00640233" w:rsidP="00640233">
      <w:pPr>
        <w:spacing w:line="360" w:lineRule="auto"/>
        <w:jc w:val="both"/>
        <w:rPr>
          <w:rFonts w:ascii="Century Gothic" w:eastAsia="Century Gothic" w:hAnsi="Century Gothic"/>
          <w:sz w:val="24"/>
          <w:szCs w:val="24"/>
        </w:rPr>
      </w:pPr>
    </w:p>
    <w:p w:rsidR="00640233" w:rsidRPr="00640233" w:rsidRDefault="00640233" w:rsidP="00AC7AB5">
      <w:pPr>
        <w:pStyle w:val="PargrafodaLista"/>
        <w:numPr>
          <w:ilvl w:val="0"/>
          <w:numId w:val="31"/>
        </w:numPr>
        <w:spacing w:line="360" w:lineRule="auto"/>
        <w:ind w:left="851" w:hanging="491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Requerimento padrrão, disponível no site da SEDAM;</w:t>
      </w:r>
    </w:p>
    <w:p w:rsidR="00640233" w:rsidRPr="00640233" w:rsidRDefault="00640233" w:rsidP="00AC7AB5">
      <w:pPr>
        <w:pStyle w:val="PargrafodaLista"/>
        <w:numPr>
          <w:ilvl w:val="0"/>
          <w:numId w:val="31"/>
        </w:numPr>
        <w:spacing w:line="360" w:lineRule="auto"/>
        <w:ind w:left="851" w:hanging="491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640233" w:rsidRPr="00640233" w:rsidRDefault="00640233" w:rsidP="00AC7AB5">
      <w:pPr>
        <w:pStyle w:val="PargrafodaLista"/>
        <w:numPr>
          <w:ilvl w:val="0"/>
          <w:numId w:val="31"/>
        </w:numPr>
        <w:spacing w:line="360" w:lineRule="auto"/>
        <w:ind w:left="851" w:hanging="491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 xml:space="preserve">Outorga de uso de Recurso hidrico, se for o caso; </w:t>
      </w:r>
    </w:p>
    <w:p w:rsidR="00640233" w:rsidRPr="00640233" w:rsidRDefault="00640233" w:rsidP="00AC7AB5">
      <w:pPr>
        <w:pStyle w:val="PargrafodaLista"/>
        <w:numPr>
          <w:ilvl w:val="0"/>
          <w:numId w:val="31"/>
        </w:numPr>
        <w:spacing w:line="360" w:lineRule="auto"/>
        <w:ind w:left="851" w:hanging="491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>Licença do poço tubular, se for o caso;</w:t>
      </w:r>
    </w:p>
    <w:p w:rsidR="00640233" w:rsidRPr="00640233" w:rsidRDefault="00640233" w:rsidP="00AC7AB5">
      <w:pPr>
        <w:pStyle w:val="PargrafodaLista"/>
        <w:numPr>
          <w:ilvl w:val="0"/>
          <w:numId w:val="31"/>
        </w:numPr>
        <w:spacing w:line="360" w:lineRule="auto"/>
        <w:ind w:left="851" w:hanging="491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Publicação em jornal do Pedido de Licença de Operação;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1"/>
        </w:numPr>
        <w:spacing w:line="360" w:lineRule="auto"/>
        <w:ind w:left="851" w:hanging="491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Outros documentos exigidos nas condicionantes </w:t>
      </w:r>
      <w:r w:rsidR="00481A76">
        <w:rPr>
          <w:rFonts w:ascii="Century Gothic" w:eastAsia="Century Gothic" w:hAnsi="Century Gothic"/>
          <w:sz w:val="24"/>
          <w:szCs w:val="24"/>
        </w:rPr>
        <w:t>estabelecida</w:t>
      </w:r>
      <w:r w:rsidRPr="00640233">
        <w:rPr>
          <w:rFonts w:ascii="Century Gothic" w:eastAsia="Century Gothic" w:hAnsi="Century Gothic"/>
          <w:sz w:val="24"/>
          <w:szCs w:val="24"/>
        </w:rPr>
        <w:t>s nas fases anteriores, quando aplicável.</w:t>
      </w:r>
    </w:p>
    <w:p w:rsidR="00640233" w:rsidRDefault="00640233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32129" w:rsidRDefault="00132129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32129" w:rsidRDefault="00132129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32129" w:rsidRDefault="00132129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32129" w:rsidRDefault="00132129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32129" w:rsidRPr="00640233" w:rsidRDefault="00132129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40233" w:rsidRPr="00640233" w:rsidRDefault="00640233" w:rsidP="006402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40233" w:rsidRPr="00640233" w:rsidRDefault="00640233" w:rsidP="00132129">
      <w:pPr>
        <w:spacing w:line="360" w:lineRule="auto"/>
        <w:jc w:val="center"/>
        <w:rPr>
          <w:rFonts w:ascii="Century Gothic" w:eastAsia="Century Gothic" w:hAnsi="Century Gothic"/>
          <w:b/>
          <w:sz w:val="24"/>
          <w:szCs w:val="24"/>
        </w:rPr>
      </w:pPr>
      <w:r w:rsidRPr="00640233">
        <w:rPr>
          <w:rFonts w:ascii="Century Gothic" w:eastAsia="Century Gothic" w:hAnsi="Century Gothic"/>
          <w:b/>
          <w:sz w:val="24"/>
          <w:szCs w:val="24"/>
        </w:rPr>
        <w:t>PARA RENOVAÇÃO DA LICENÇA DE OPERAÇÃO (LO):</w:t>
      </w:r>
    </w:p>
    <w:p w:rsidR="00640233" w:rsidRPr="00640233" w:rsidRDefault="00640233" w:rsidP="00640233">
      <w:pPr>
        <w:spacing w:line="360" w:lineRule="auto"/>
        <w:jc w:val="both"/>
        <w:rPr>
          <w:rFonts w:ascii="Century Gothic" w:eastAsia="Century Gothic" w:hAnsi="Century Gothic"/>
          <w:b/>
          <w:sz w:val="24"/>
          <w:szCs w:val="24"/>
        </w:rPr>
      </w:pPr>
    </w:p>
    <w:p w:rsidR="00640233" w:rsidRPr="00640233" w:rsidRDefault="00640233" w:rsidP="00AC7AB5">
      <w:pPr>
        <w:pStyle w:val="PargrafodaLista"/>
        <w:numPr>
          <w:ilvl w:val="0"/>
          <w:numId w:val="32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Requerimento padrrão, disponível no site da SEDAM;</w:t>
      </w:r>
    </w:p>
    <w:p w:rsidR="00640233" w:rsidRPr="00640233" w:rsidRDefault="00640233" w:rsidP="00AC7AB5">
      <w:pPr>
        <w:pStyle w:val="PargrafodaLista"/>
        <w:numPr>
          <w:ilvl w:val="0"/>
          <w:numId w:val="32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Comprovante de recolhimento de taxa referente à renovação da licença de Operação conforme determina a Lei estadual nº3941 de 2016;</w:t>
      </w:r>
    </w:p>
    <w:p w:rsidR="00A00D27" w:rsidRDefault="00640233" w:rsidP="00640233">
      <w:pPr>
        <w:pStyle w:val="PargrafodaLista"/>
        <w:numPr>
          <w:ilvl w:val="0"/>
          <w:numId w:val="32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Publicação em jornal do Pedido De Renovação Licença de Operação; </w:t>
      </w:r>
    </w:p>
    <w:p w:rsidR="00640233" w:rsidRPr="00A00D27" w:rsidRDefault="00A00D27" w:rsidP="00640233">
      <w:pPr>
        <w:pStyle w:val="PargrafodaLista"/>
        <w:numPr>
          <w:ilvl w:val="0"/>
          <w:numId w:val="32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A00D27">
        <w:rPr>
          <w:rFonts w:ascii="Century Gothic" w:eastAsia="Century Gothic" w:hAnsi="Century Gothic"/>
          <w:sz w:val="24"/>
          <w:szCs w:val="24"/>
        </w:rPr>
        <w:t>Outros documentos exigidos nas condicionantes estabelecidas nas fases anteriores, quando aplicável</w:t>
      </w:r>
      <w:r w:rsidR="005521E8">
        <w:rPr>
          <w:rFonts w:ascii="Century Gothic" w:eastAsia="Century Gothic" w:hAnsi="Century Gothic"/>
          <w:sz w:val="24"/>
          <w:szCs w:val="24"/>
        </w:rPr>
        <w:t>.</w:t>
      </w:r>
    </w:p>
    <w:p w:rsidR="00640233" w:rsidRPr="00640233" w:rsidRDefault="00640233" w:rsidP="0064023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40233" w:rsidRPr="00640233" w:rsidRDefault="00640233" w:rsidP="00AC7AB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40233">
        <w:rPr>
          <w:rFonts w:ascii="Century Gothic" w:hAnsi="Century Gothic"/>
          <w:b/>
          <w:sz w:val="24"/>
          <w:szCs w:val="24"/>
        </w:rPr>
        <w:t>RELAÇÃO DE DOCUMENTOS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  <w:r w:rsidRPr="00640233">
        <w:rPr>
          <w:rFonts w:ascii="Century Gothic" w:hAnsi="Century Gothic"/>
          <w:b/>
          <w:spacing w:val="-3"/>
          <w:sz w:val="24"/>
          <w:szCs w:val="24"/>
        </w:rPr>
        <w:t xml:space="preserve">PARA </w:t>
      </w:r>
      <w:r w:rsidRPr="00640233">
        <w:rPr>
          <w:rFonts w:ascii="Century Gothic" w:hAnsi="Century Gothic"/>
          <w:b/>
          <w:sz w:val="24"/>
          <w:szCs w:val="24"/>
        </w:rPr>
        <w:t>LICENÇA PRÉVIA</w:t>
      </w:r>
      <w:r w:rsidRPr="00640233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640233">
        <w:rPr>
          <w:rFonts w:ascii="Century Gothic" w:hAnsi="Century Gothic"/>
          <w:b/>
          <w:sz w:val="24"/>
          <w:szCs w:val="24"/>
        </w:rPr>
        <w:t xml:space="preserve"> E INSTALAÇÃO  (LP E LI)</w:t>
      </w:r>
      <w:r w:rsidR="00AC7AB5">
        <w:rPr>
          <w:rFonts w:ascii="Century Gothic" w:hAnsi="Century Gothic"/>
          <w:b/>
          <w:sz w:val="24"/>
          <w:szCs w:val="24"/>
        </w:rPr>
        <w:t>:</w:t>
      </w:r>
    </w:p>
    <w:p w:rsidR="00640233" w:rsidRPr="00640233" w:rsidRDefault="00640233" w:rsidP="0064023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Requerimento padrrão, disponível no site da SEDAM;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Comprovante de recolhimento de taxa referente às licenças Prévia e de Instalação conforme determina a Lei estadual nº3941 de 2016;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Cópia do cartão CNPJ;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Cópia do FAC (SINTEGRA);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Ato Constitutivo, Contrato Social, Requerimento de Empresário Individual, Estatuto Social, Declaração de MEI ou Certidão Simplificada</w:t>
      </w:r>
    </w:p>
    <w:p w:rsidR="00640233" w:rsidRDefault="00AC7AB5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 xml:space="preserve">Cópias do (CPF </w:t>
      </w:r>
      <w:r w:rsidR="00640233" w:rsidRPr="00640233">
        <w:rPr>
          <w:rFonts w:ascii="Century Gothic" w:eastAsia="Century Gothic" w:hAnsi="Century Gothic"/>
          <w:sz w:val="24"/>
          <w:szCs w:val="24"/>
        </w:rPr>
        <w:t xml:space="preserve">e RG) dos responsáveis legais do empreendimento; </w:t>
      </w:r>
    </w:p>
    <w:p w:rsidR="00AC7AB5" w:rsidRPr="00640233" w:rsidRDefault="00AC7AB5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Procuração, quando couber;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640233" w:rsidRPr="00640233" w:rsidRDefault="008503CF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 xml:space="preserve">Cópias do (CPF </w:t>
      </w:r>
      <w:r w:rsidR="00640233" w:rsidRPr="00640233">
        <w:rPr>
          <w:rFonts w:ascii="Century Gothic" w:eastAsia="Century Gothic" w:hAnsi="Century Gothic"/>
          <w:sz w:val="24"/>
          <w:szCs w:val="24"/>
        </w:rPr>
        <w:t>e RG) do proprietário do imóvel, quando aplicável</w:t>
      </w:r>
      <w:r w:rsidR="00640233" w:rsidRPr="00640233">
        <w:rPr>
          <w:rFonts w:ascii="Century Gothic" w:eastAsia="Century Gothic" w:hAnsi="Century Gothic"/>
          <w:b/>
          <w:sz w:val="24"/>
          <w:szCs w:val="24"/>
        </w:rPr>
        <w:t>;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</w:t>
      </w:r>
      <w:r w:rsidRPr="00640233">
        <w:rPr>
          <w:rFonts w:ascii="Century Gothic" w:hAnsi="Century Gothic"/>
          <w:sz w:val="24"/>
          <w:szCs w:val="24"/>
        </w:rPr>
        <w:lastRenderedPageBreak/>
        <w:t xml:space="preserve">02/MMA, de 06 de maio de 2014 ou </w:t>
      </w:r>
      <w:r w:rsidRPr="00640233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640233">
        <w:rPr>
          <w:rFonts w:ascii="Century Gothic" w:hAnsi="Century Gothic"/>
          <w:sz w:val="24"/>
          <w:szCs w:val="24"/>
        </w:rPr>
        <w:t>,</w:t>
      </w:r>
      <w:r w:rsidRPr="00640233">
        <w:rPr>
          <w:rFonts w:ascii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Publicação em jornal do Pedido de Licença Prévia; </w:t>
      </w:r>
    </w:p>
    <w:p w:rsidR="00640233" w:rsidRPr="00640233" w:rsidRDefault="008928A8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 xml:space="preserve">Plano de Controle Ambiental </w:t>
      </w:r>
      <w:r w:rsidR="00640233" w:rsidRPr="00640233">
        <w:rPr>
          <w:rFonts w:ascii="Century Gothic" w:eastAsia="Century Gothic" w:hAnsi="Century Gothic"/>
          <w:sz w:val="24"/>
          <w:szCs w:val="24"/>
        </w:rPr>
        <w:t>(PCA) acompanhado de documento de responsabilidade técnica do conselho de classe do(s) profissional (ais) habilitado (s) para a elaboração do respectivo Estudo Ambiental</w:t>
      </w:r>
      <w:r w:rsidR="00AC7AB5">
        <w:rPr>
          <w:rFonts w:ascii="Century Gothic" w:eastAsia="Century Gothic" w:hAnsi="Century Gothic"/>
          <w:sz w:val="24"/>
          <w:szCs w:val="24"/>
        </w:rPr>
        <w:t>;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Programa de Controle e Proteção de solo e água com anotação de responsabilidade técnica do profissional legalmente habilitado;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Programa de monitoramento de solo e água com anotação de responsabilidade técnica do profissional legalmente habilitado;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Cronograma de implantação do empreendimento;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Publicação em jornal do pedido da Licença Prévia e  Instalação;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640233" w:rsidRPr="00640233" w:rsidRDefault="00640233" w:rsidP="00AC7AB5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 xml:space="preserve">Protocolo de regularização do abastecimento hídrico registrado junto ao COREH, quando for o caso; </w:t>
      </w:r>
    </w:p>
    <w:p w:rsidR="00640233" w:rsidRPr="00FA7663" w:rsidRDefault="00640233" w:rsidP="00640233">
      <w:pPr>
        <w:spacing w:line="360" w:lineRule="auto"/>
        <w:jc w:val="both"/>
        <w:rPr>
          <w:rFonts w:eastAsia="Century Gothic"/>
        </w:rPr>
      </w:pPr>
    </w:p>
    <w:p w:rsidR="00640233" w:rsidRPr="00FA7663" w:rsidRDefault="00640233" w:rsidP="00640233">
      <w:pPr>
        <w:spacing w:line="360" w:lineRule="auto"/>
        <w:jc w:val="both"/>
        <w:rPr>
          <w:rFonts w:eastAsia="Century Gothic"/>
        </w:rPr>
      </w:pPr>
    </w:p>
    <w:p w:rsidR="005A7A5A" w:rsidRPr="00D360C0" w:rsidRDefault="005A7A5A" w:rsidP="00D360C0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jc w:val="center"/>
        <w:rPr>
          <w:rFonts w:ascii="Century Gothic" w:eastAsia="Century Gothic" w:hAnsi="Century Gothic"/>
          <w:b/>
          <w:color w:val="FF0000"/>
          <w:sz w:val="32"/>
          <w:szCs w:val="32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C7AB5" w:rsidRDefault="00AC7AB5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C7AB5" w:rsidRDefault="00AC7AB5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lastRenderedPageBreak/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32" w:rsidRDefault="00356332" w:rsidP="00E41D53">
      <w:r>
        <w:separator/>
      </w:r>
    </w:p>
  </w:endnote>
  <w:endnote w:type="continuationSeparator" w:id="0">
    <w:p w:rsidR="00356332" w:rsidRDefault="00356332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0C3A2D">
    <w:pPr>
      <w:pStyle w:val="Corpodetexto"/>
      <w:spacing w:line="14" w:lineRule="auto"/>
      <w:ind w:left="0"/>
      <w:rPr>
        <w:sz w:val="20"/>
      </w:rPr>
    </w:pPr>
    <w:r w:rsidRPr="000C3A2D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0C3A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5521E8" w:rsidRDefault="005521E8" w:rsidP="005521E8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5521E8" w:rsidRPr="00295168" w:rsidRDefault="005521E8" w:rsidP="005521E8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5521E8" w:rsidRPr="00295168" w:rsidRDefault="005521E8" w:rsidP="005521E8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Pr="005521E8" w:rsidRDefault="00407C87" w:rsidP="005521E8">
                <w:r w:rsidRPr="005521E8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32" w:rsidRDefault="00356332" w:rsidP="00E41D53">
      <w:r>
        <w:separator/>
      </w:r>
    </w:p>
  </w:footnote>
  <w:footnote w:type="continuationSeparator" w:id="0">
    <w:p w:rsidR="00356332" w:rsidRDefault="00356332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0C3A2D">
    <w:pPr>
      <w:pStyle w:val="Corpodetexto"/>
      <w:spacing w:line="14" w:lineRule="auto"/>
      <w:ind w:left="0"/>
      <w:rPr>
        <w:sz w:val="20"/>
      </w:rPr>
    </w:pPr>
    <w:r w:rsidRPr="000C3A2D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0C3A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0C3A2D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  <w:p w:rsidR="00F1656A" w:rsidRDefault="00F165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630B2"/>
    <w:multiLevelType w:val="hybridMultilevel"/>
    <w:tmpl w:val="BA40BCE6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BD3"/>
    <w:multiLevelType w:val="hybridMultilevel"/>
    <w:tmpl w:val="79F04CAA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7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9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1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2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20126"/>
    <w:multiLevelType w:val="hybridMultilevel"/>
    <w:tmpl w:val="58786778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6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7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8">
    <w:nsid w:val="49405EFE"/>
    <w:multiLevelType w:val="hybridMultilevel"/>
    <w:tmpl w:val="21C87B80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20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1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4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B85951"/>
    <w:multiLevelType w:val="hybridMultilevel"/>
    <w:tmpl w:val="8F74BF9C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8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9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30">
    <w:nsid w:val="7A112794"/>
    <w:multiLevelType w:val="hybridMultilevel"/>
    <w:tmpl w:val="43A20486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9"/>
  </w:num>
  <w:num w:numId="8">
    <w:abstractNumId w:val="28"/>
  </w:num>
  <w:num w:numId="9">
    <w:abstractNumId w:val="28"/>
  </w:num>
  <w:num w:numId="10">
    <w:abstractNumId w:val="28"/>
  </w:num>
  <w:num w:numId="11">
    <w:abstractNumId w:val="27"/>
  </w:num>
  <w:num w:numId="12">
    <w:abstractNumId w:val="16"/>
  </w:num>
  <w:num w:numId="13">
    <w:abstractNumId w:val="21"/>
  </w:num>
  <w:num w:numId="14">
    <w:abstractNumId w:val="24"/>
  </w:num>
  <w:num w:numId="15">
    <w:abstractNumId w:val="26"/>
  </w:num>
  <w:num w:numId="16">
    <w:abstractNumId w:val="7"/>
  </w:num>
  <w:num w:numId="17">
    <w:abstractNumId w:val="12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29"/>
  </w:num>
  <w:num w:numId="25">
    <w:abstractNumId w:val="20"/>
  </w:num>
  <w:num w:numId="26">
    <w:abstractNumId w:val="23"/>
  </w:num>
  <w:num w:numId="27">
    <w:abstractNumId w:val="11"/>
  </w:num>
  <w:num w:numId="28">
    <w:abstractNumId w:val="18"/>
  </w:num>
  <w:num w:numId="29">
    <w:abstractNumId w:val="13"/>
  </w:num>
  <w:num w:numId="30">
    <w:abstractNumId w:val="25"/>
  </w:num>
  <w:num w:numId="31">
    <w:abstractNumId w:val="1"/>
  </w:num>
  <w:num w:numId="32">
    <w:abstractNumId w:val="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36FEC"/>
    <w:rsid w:val="000A31F9"/>
    <w:rsid w:val="000A565C"/>
    <w:rsid w:val="000B405D"/>
    <w:rsid w:val="000B49C8"/>
    <w:rsid w:val="000C3A2D"/>
    <w:rsid w:val="000D1A1F"/>
    <w:rsid w:val="0011204E"/>
    <w:rsid w:val="00132129"/>
    <w:rsid w:val="00154F79"/>
    <w:rsid w:val="00157970"/>
    <w:rsid w:val="001A0FC2"/>
    <w:rsid w:val="001B4449"/>
    <w:rsid w:val="001E31F3"/>
    <w:rsid w:val="001E7795"/>
    <w:rsid w:val="002121C4"/>
    <w:rsid w:val="00213978"/>
    <w:rsid w:val="00225E51"/>
    <w:rsid w:val="00230623"/>
    <w:rsid w:val="0024488D"/>
    <w:rsid w:val="002753C9"/>
    <w:rsid w:val="002A2193"/>
    <w:rsid w:val="002A3DB0"/>
    <w:rsid w:val="002A471D"/>
    <w:rsid w:val="002F5465"/>
    <w:rsid w:val="00343C83"/>
    <w:rsid w:val="00356332"/>
    <w:rsid w:val="003852B0"/>
    <w:rsid w:val="003B0111"/>
    <w:rsid w:val="003C0516"/>
    <w:rsid w:val="003C3C79"/>
    <w:rsid w:val="00407C87"/>
    <w:rsid w:val="004106DD"/>
    <w:rsid w:val="00442EE3"/>
    <w:rsid w:val="00444817"/>
    <w:rsid w:val="00465F8E"/>
    <w:rsid w:val="004671E6"/>
    <w:rsid w:val="00481A76"/>
    <w:rsid w:val="00483E64"/>
    <w:rsid w:val="004A0EF2"/>
    <w:rsid w:val="004B26D7"/>
    <w:rsid w:val="004F4417"/>
    <w:rsid w:val="00502C62"/>
    <w:rsid w:val="005159CA"/>
    <w:rsid w:val="00520E8B"/>
    <w:rsid w:val="00544B70"/>
    <w:rsid w:val="005521E8"/>
    <w:rsid w:val="00565216"/>
    <w:rsid w:val="0057034B"/>
    <w:rsid w:val="005924EF"/>
    <w:rsid w:val="005956A3"/>
    <w:rsid w:val="005A6D17"/>
    <w:rsid w:val="005A7A5A"/>
    <w:rsid w:val="005B5487"/>
    <w:rsid w:val="005C1E72"/>
    <w:rsid w:val="005F3F7A"/>
    <w:rsid w:val="005F6086"/>
    <w:rsid w:val="005F62F9"/>
    <w:rsid w:val="006020AA"/>
    <w:rsid w:val="00602749"/>
    <w:rsid w:val="006203F4"/>
    <w:rsid w:val="00640233"/>
    <w:rsid w:val="00643830"/>
    <w:rsid w:val="00685805"/>
    <w:rsid w:val="00686A36"/>
    <w:rsid w:val="006A7EE7"/>
    <w:rsid w:val="006B250D"/>
    <w:rsid w:val="006C7170"/>
    <w:rsid w:val="006E0080"/>
    <w:rsid w:val="006E72C8"/>
    <w:rsid w:val="006F0D14"/>
    <w:rsid w:val="006F354A"/>
    <w:rsid w:val="007074E0"/>
    <w:rsid w:val="0077582D"/>
    <w:rsid w:val="00776718"/>
    <w:rsid w:val="00796A7D"/>
    <w:rsid w:val="007C23D2"/>
    <w:rsid w:val="007D5439"/>
    <w:rsid w:val="00800D3D"/>
    <w:rsid w:val="00806239"/>
    <w:rsid w:val="00806F26"/>
    <w:rsid w:val="00807B3D"/>
    <w:rsid w:val="00807BB2"/>
    <w:rsid w:val="00811E73"/>
    <w:rsid w:val="008276BD"/>
    <w:rsid w:val="008503CF"/>
    <w:rsid w:val="00890D9C"/>
    <w:rsid w:val="008928A8"/>
    <w:rsid w:val="0089360B"/>
    <w:rsid w:val="008A6009"/>
    <w:rsid w:val="008E01D4"/>
    <w:rsid w:val="008E75D7"/>
    <w:rsid w:val="008E786C"/>
    <w:rsid w:val="008E7929"/>
    <w:rsid w:val="008F6022"/>
    <w:rsid w:val="009002A9"/>
    <w:rsid w:val="00901162"/>
    <w:rsid w:val="0090248B"/>
    <w:rsid w:val="009103E2"/>
    <w:rsid w:val="009138E2"/>
    <w:rsid w:val="00923053"/>
    <w:rsid w:val="00980DD5"/>
    <w:rsid w:val="00984C95"/>
    <w:rsid w:val="00993BD9"/>
    <w:rsid w:val="009D2396"/>
    <w:rsid w:val="009E3814"/>
    <w:rsid w:val="009F630E"/>
    <w:rsid w:val="00A00D27"/>
    <w:rsid w:val="00A0306D"/>
    <w:rsid w:val="00A161DC"/>
    <w:rsid w:val="00A359D1"/>
    <w:rsid w:val="00A82974"/>
    <w:rsid w:val="00A869C4"/>
    <w:rsid w:val="00AA78F6"/>
    <w:rsid w:val="00AC7AB5"/>
    <w:rsid w:val="00AF2F13"/>
    <w:rsid w:val="00B0065D"/>
    <w:rsid w:val="00B33FC5"/>
    <w:rsid w:val="00B4065D"/>
    <w:rsid w:val="00B541DA"/>
    <w:rsid w:val="00B643C7"/>
    <w:rsid w:val="00B6793E"/>
    <w:rsid w:val="00B80F1B"/>
    <w:rsid w:val="00BA1C2D"/>
    <w:rsid w:val="00BA3AD5"/>
    <w:rsid w:val="00BA639E"/>
    <w:rsid w:val="00BB22A5"/>
    <w:rsid w:val="00BC3BF4"/>
    <w:rsid w:val="00BF01B4"/>
    <w:rsid w:val="00BF266E"/>
    <w:rsid w:val="00C00453"/>
    <w:rsid w:val="00C13EFD"/>
    <w:rsid w:val="00C14559"/>
    <w:rsid w:val="00C62035"/>
    <w:rsid w:val="00C636E0"/>
    <w:rsid w:val="00C703D2"/>
    <w:rsid w:val="00C729D7"/>
    <w:rsid w:val="00C775C0"/>
    <w:rsid w:val="00C80E75"/>
    <w:rsid w:val="00CB5D14"/>
    <w:rsid w:val="00CE0E46"/>
    <w:rsid w:val="00CF53E7"/>
    <w:rsid w:val="00D22959"/>
    <w:rsid w:val="00D360C0"/>
    <w:rsid w:val="00D3655A"/>
    <w:rsid w:val="00D57232"/>
    <w:rsid w:val="00D601F3"/>
    <w:rsid w:val="00D63B00"/>
    <w:rsid w:val="00D63E5D"/>
    <w:rsid w:val="00D703E0"/>
    <w:rsid w:val="00DC0948"/>
    <w:rsid w:val="00DC0EE9"/>
    <w:rsid w:val="00E017EF"/>
    <w:rsid w:val="00E0700B"/>
    <w:rsid w:val="00E22A9E"/>
    <w:rsid w:val="00E30D99"/>
    <w:rsid w:val="00E41D53"/>
    <w:rsid w:val="00E85ECF"/>
    <w:rsid w:val="00EA018B"/>
    <w:rsid w:val="00EB6F5E"/>
    <w:rsid w:val="00EE4035"/>
    <w:rsid w:val="00EF2EC6"/>
    <w:rsid w:val="00F02C56"/>
    <w:rsid w:val="00F127CB"/>
    <w:rsid w:val="00F1656A"/>
    <w:rsid w:val="00F20DDE"/>
    <w:rsid w:val="00F40627"/>
    <w:rsid w:val="00F53ACB"/>
    <w:rsid w:val="00F569CB"/>
    <w:rsid w:val="00F638A3"/>
    <w:rsid w:val="00F72A01"/>
    <w:rsid w:val="00FA5220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879D-A31D-466F-9948-0F0EE0B8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1652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124</cp:revision>
  <dcterms:created xsi:type="dcterms:W3CDTF">2019-04-26T14:41:00Z</dcterms:created>
  <dcterms:modified xsi:type="dcterms:W3CDTF">2020-07-08T17:47:00Z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